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AF40E9">
      <w:pPr>
        <w:widowControl/>
        <w:spacing w:line="360" w:lineRule="atLeast"/>
        <w:jc w:val="center"/>
        <w:outlineLvl w:val="1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评审方法</w:t>
      </w:r>
    </w:p>
    <w:p w14:paraId="1FEDB69E">
      <w:pPr>
        <w:widowControl/>
        <w:spacing w:line="360" w:lineRule="atLeast"/>
        <w:jc w:val="center"/>
        <w:outlineLvl w:val="1"/>
        <w:rPr>
          <w:rFonts w:ascii="宋体" w:hAnsi="宋体" w:cs="宋体"/>
          <w:b/>
          <w:bCs/>
          <w:color w:val="auto"/>
          <w:kern w:val="0"/>
          <w:sz w:val="24"/>
        </w:rPr>
      </w:pPr>
      <w:r>
        <w:rPr>
          <w:rFonts w:hint="eastAsia" w:ascii="宋体" w:hAnsi="宋体" w:cs="宋体"/>
          <w:b/>
          <w:bCs/>
          <w:color w:val="auto"/>
          <w:kern w:val="0"/>
          <w:sz w:val="24"/>
        </w:rPr>
        <w:t>综合评分表</w:t>
      </w:r>
    </w:p>
    <w:tbl>
      <w:tblPr>
        <w:tblStyle w:val="5"/>
        <w:tblW w:w="9210" w:type="dxa"/>
        <w:tblInd w:w="-21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1140"/>
        <w:gridCol w:w="675"/>
        <w:gridCol w:w="4755"/>
        <w:gridCol w:w="1920"/>
      </w:tblGrid>
      <w:tr w14:paraId="5A050E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 w14:paraId="100D8DE1">
            <w:pPr>
              <w:spacing w:line="360" w:lineRule="auto"/>
              <w:ind w:firstLine="28"/>
              <w:jc w:val="center"/>
              <w:rPr>
                <w:rFonts w:ascii="宋体" w:hAnsi="宋体" w:eastAsia="宋体" w:cs="Times New Roman"/>
                <w:b/>
                <w:color w:val="auto"/>
                <w:szCs w:val="21"/>
              </w:rPr>
            </w:pPr>
            <w:r>
              <w:rPr>
                <w:rFonts w:ascii="宋体" w:hAnsi="宋体"/>
                <w:b/>
                <w:color w:val="auto"/>
                <w:szCs w:val="21"/>
              </w:rPr>
              <w:t>序号</w:t>
            </w:r>
          </w:p>
        </w:tc>
        <w:tc>
          <w:tcPr>
            <w:tcW w:w="1140" w:type="dxa"/>
            <w:vAlign w:val="center"/>
          </w:tcPr>
          <w:p w14:paraId="1FFBF5F5">
            <w:pPr>
              <w:spacing w:line="360" w:lineRule="auto"/>
              <w:ind w:firstLine="28"/>
              <w:jc w:val="center"/>
              <w:rPr>
                <w:rFonts w:ascii="宋体" w:hAnsi="宋体"/>
                <w:b/>
                <w:color w:val="auto"/>
                <w:szCs w:val="21"/>
              </w:rPr>
            </w:pPr>
            <w:r>
              <w:rPr>
                <w:rFonts w:ascii="宋体" w:hAnsi="宋体"/>
                <w:b/>
                <w:color w:val="auto"/>
                <w:szCs w:val="21"/>
              </w:rPr>
              <w:t>评分因素</w:t>
            </w:r>
          </w:p>
          <w:p w14:paraId="44C55058">
            <w:pPr>
              <w:spacing w:line="360" w:lineRule="auto"/>
              <w:ind w:firstLine="28"/>
              <w:jc w:val="center"/>
              <w:rPr>
                <w:rFonts w:ascii="宋体" w:hAnsi="宋体" w:eastAsia="宋体" w:cs="Times New Roman"/>
                <w:b/>
                <w:color w:val="auto"/>
                <w:szCs w:val="21"/>
              </w:rPr>
            </w:pPr>
            <w:r>
              <w:rPr>
                <w:rFonts w:ascii="宋体" w:hAnsi="宋体"/>
                <w:b/>
                <w:color w:val="auto"/>
                <w:szCs w:val="21"/>
              </w:rPr>
              <w:t>及权重</w:t>
            </w:r>
          </w:p>
        </w:tc>
        <w:tc>
          <w:tcPr>
            <w:tcW w:w="675" w:type="dxa"/>
            <w:vAlign w:val="center"/>
          </w:tcPr>
          <w:p w14:paraId="69B34E4E">
            <w:pPr>
              <w:spacing w:line="360" w:lineRule="auto"/>
              <w:ind w:firstLine="28"/>
              <w:jc w:val="center"/>
              <w:rPr>
                <w:rFonts w:ascii="宋体" w:hAnsi="宋体" w:eastAsia="宋体" w:cs="Times New Roman"/>
                <w:b/>
                <w:color w:val="auto"/>
                <w:szCs w:val="21"/>
              </w:rPr>
            </w:pPr>
            <w:r>
              <w:rPr>
                <w:rFonts w:ascii="宋体" w:hAnsi="宋体"/>
                <w:b/>
                <w:color w:val="auto"/>
                <w:szCs w:val="21"/>
              </w:rPr>
              <w:t>分值</w:t>
            </w:r>
          </w:p>
        </w:tc>
        <w:tc>
          <w:tcPr>
            <w:tcW w:w="4755" w:type="dxa"/>
            <w:vAlign w:val="center"/>
          </w:tcPr>
          <w:p w14:paraId="406F0735">
            <w:pPr>
              <w:spacing w:line="360" w:lineRule="auto"/>
              <w:ind w:firstLine="28"/>
              <w:jc w:val="center"/>
              <w:rPr>
                <w:rFonts w:ascii="宋体" w:hAnsi="宋体" w:eastAsia="宋体" w:cs="Times New Roman"/>
                <w:b/>
                <w:color w:val="auto"/>
                <w:szCs w:val="21"/>
              </w:rPr>
            </w:pPr>
            <w:r>
              <w:rPr>
                <w:rFonts w:ascii="宋体" w:hAnsi="宋体"/>
                <w:b/>
                <w:color w:val="auto"/>
                <w:szCs w:val="21"/>
              </w:rPr>
              <w:t>评分标准</w:t>
            </w:r>
          </w:p>
        </w:tc>
        <w:tc>
          <w:tcPr>
            <w:tcW w:w="1920" w:type="dxa"/>
            <w:vAlign w:val="center"/>
          </w:tcPr>
          <w:p w14:paraId="0DD0DE7B">
            <w:pPr>
              <w:spacing w:line="360" w:lineRule="auto"/>
              <w:jc w:val="center"/>
              <w:rPr>
                <w:rFonts w:ascii="宋体" w:hAnsi="宋体" w:eastAsia="宋体" w:cs="Times New Roman"/>
                <w:b/>
                <w:color w:val="auto"/>
                <w:szCs w:val="21"/>
              </w:rPr>
            </w:pPr>
            <w:r>
              <w:rPr>
                <w:rFonts w:ascii="宋体" w:hAnsi="宋体"/>
                <w:b/>
                <w:color w:val="auto"/>
                <w:szCs w:val="21"/>
              </w:rPr>
              <w:t>说明</w:t>
            </w:r>
          </w:p>
        </w:tc>
      </w:tr>
      <w:tr w14:paraId="3A9870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 w14:paraId="742F6155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1</w:t>
            </w:r>
          </w:p>
        </w:tc>
        <w:tc>
          <w:tcPr>
            <w:tcW w:w="1140" w:type="dxa"/>
            <w:vAlign w:val="center"/>
          </w:tcPr>
          <w:p w14:paraId="2C90BB6B">
            <w:pPr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价格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15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﹪</w:t>
            </w:r>
          </w:p>
        </w:tc>
        <w:tc>
          <w:tcPr>
            <w:tcW w:w="675" w:type="dxa"/>
            <w:vAlign w:val="center"/>
          </w:tcPr>
          <w:p w14:paraId="60786F05">
            <w:pPr>
              <w:jc w:val="left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15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分</w:t>
            </w:r>
          </w:p>
        </w:tc>
        <w:tc>
          <w:tcPr>
            <w:tcW w:w="4755" w:type="dxa"/>
            <w:vAlign w:val="center"/>
          </w:tcPr>
          <w:p w14:paraId="16EE7410">
            <w:pPr>
              <w:pStyle w:val="2"/>
              <w:ind w:firstLine="400" w:firstLineChars="200"/>
              <w:rPr>
                <w:rFonts w:ascii="宋体" w:hAnsi="宋体" w:eastAsia="宋体" w:cs="Times New Roman"/>
                <w:color w:val="auto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1"/>
              </w:rPr>
              <w:t>综合评分法中的价格分统一采用低价优先法计算，即满足招标文件要求且投标价格最低的投标报价为评标基准价，其价格分为满分。其他投标人的价格分统一按照下列公式计算：</w:t>
            </w:r>
          </w:p>
          <w:p w14:paraId="7EF3E692">
            <w:pPr>
              <w:pStyle w:val="2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1"/>
              </w:rPr>
              <w:t>投标报价得分=(评标基准价／投标报价)×价格权值×100</w:t>
            </w:r>
          </w:p>
        </w:tc>
        <w:tc>
          <w:tcPr>
            <w:tcW w:w="1920" w:type="dxa"/>
            <w:vAlign w:val="center"/>
          </w:tcPr>
          <w:p w14:paraId="6A9B9D79">
            <w:pPr>
              <w:spacing w:line="360" w:lineRule="exact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一次性报价，</w:t>
            </w:r>
          </w:p>
          <w:p w14:paraId="195B0F8B">
            <w:pPr>
              <w:spacing w:line="360" w:lineRule="exact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超过最高限价的报价为无效报价。</w:t>
            </w:r>
          </w:p>
        </w:tc>
      </w:tr>
      <w:tr w14:paraId="6523F8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2" w:hRule="atLeast"/>
        </w:trPr>
        <w:tc>
          <w:tcPr>
            <w:tcW w:w="720" w:type="dxa"/>
            <w:vAlign w:val="center"/>
          </w:tcPr>
          <w:p w14:paraId="28E2B546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2</w:t>
            </w:r>
          </w:p>
        </w:tc>
        <w:tc>
          <w:tcPr>
            <w:tcW w:w="1140" w:type="dxa"/>
            <w:vAlign w:val="center"/>
          </w:tcPr>
          <w:p w14:paraId="53745EA7">
            <w:pPr>
              <w:spacing w:line="360" w:lineRule="exact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资质及其他要求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>54.8</w:t>
            </w:r>
            <w:r>
              <w:rPr>
                <w:rFonts w:hint="eastAsia" w:ascii="宋体" w:hAnsi="宋体" w:cs="宋体"/>
                <w:color w:val="auto"/>
                <w:szCs w:val="21"/>
              </w:rPr>
              <w:t>%</w:t>
            </w:r>
          </w:p>
        </w:tc>
        <w:tc>
          <w:tcPr>
            <w:tcW w:w="675" w:type="dxa"/>
            <w:vAlign w:val="center"/>
          </w:tcPr>
          <w:p w14:paraId="2A420DF7">
            <w:pPr>
              <w:spacing w:line="360" w:lineRule="exact"/>
              <w:jc w:val="left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>54.8</w:t>
            </w:r>
            <w:r>
              <w:rPr>
                <w:rFonts w:hint="eastAsia" w:ascii="宋体" w:hAnsi="宋体" w:cs="宋体"/>
                <w:color w:val="auto"/>
                <w:szCs w:val="21"/>
              </w:rPr>
              <w:t>分</w:t>
            </w:r>
          </w:p>
        </w:tc>
        <w:tc>
          <w:tcPr>
            <w:tcW w:w="4755" w:type="dxa"/>
            <w:vAlign w:val="center"/>
          </w:tcPr>
          <w:p w14:paraId="0ACC71A7">
            <w:pPr>
              <w:spacing w:before="156" w:beforeLines="50" w:after="156" w:afterLines="50"/>
              <w:rPr>
                <w:rFonts w:ascii="宋体" w:hAnsi="宋体" w:eastAsia="宋体" w:cs="Times New Roman"/>
                <w:color w:val="auto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1"/>
              </w:rPr>
              <w:t>带“★”的项目为实质性要求，不允许有负偏离。“★”的技术参数为实质性要求，不作为评分项。</w:t>
            </w:r>
          </w:p>
          <w:p w14:paraId="0C2358A9">
            <w:pPr>
              <w:pStyle w:val="2"/>
              <w:rPr>
                <w:rFonts w:ascii="宋体" w:hAnsi="宋体" w:eastAsia="宋体" w:cs="Times New Roman"/>
                <w:color w:val="auto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auto"/>
                <w:kern w:val="0"/>
                <w:sz w:val="20"/>
                <w:szCs w:val="21"/>
              </w:rPr>
              <w:t>检测能力：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1"/>
              </w:rPr>
              <w:t>满分50分。</w:t>
            </w:r>
          </w:p>
          <w:p w14:paraId="7916F524">
            <w:pPr>
              <w:pStyle w:val="2"/>
              <w:rPr>
                <w:rFonts w:ascii="宋体" w:hAnsi="宋体" w:eastAsia="宋体" w:cs="Times New Roman"/>
                <w:color w:val="auto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1"/>
              </w:rPr>
              <w:t>3.1满分10分，负偏离扣10分；</w:t>
            </w:r>
          </w:p>
          <w:p w14:paraId="28378183">
            <w:pPr>
              <w:pStyle w:val="2"/>
              <w:rPr>
                <w:rFonts w:ascii="宋体" w:hAnsi="宋体" w:eastAsia="宋体" w:cs="Times New Roman"/>
                <w:color w:val="auto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1"/>
              </w:rPr>
              <w:t>3.2满分20分，几何量、热学、力学、化学、电磁学各项4分，1项负偏离扣4分；</w:t>
            </w:r>
          </w:p>
          <w:p w14:paraId="53306BAB">
            <w:pPr>
              <w:pStyle w:val="2"/>
              <w:rPr>
                <w:rFonts w:ascii="宋体" w:hAnsi="宋体" w:eastAsia="宋体" w:cs="Times New Roman"/>
                <w:color w:val="auto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1"/>
              </w:rPr>
              <w:t>3.3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1"/>
                <w:lang w:val="en-US" w:eastAsia="zh-CN"/>
              </w:rPr>
              <w:t>满分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1"/>
              </w:rPr>
              <w:t>20分，几何量、热学、力学、化学、电磁学</w:t>
            </w:r>
            <w:r>
              <w:rPr>
                <w:rFonts w:hint="eastAsia" w:ascii="宋体" w:hAnsi="宋体" w:eastAsia="宋体" w:cs="Times New Roman"/>
                <w:b w:val="0"/>
                <w:bCs w:val="0"/>
                <w:color w:val="auto"/>
                <w:kern w:val="0"/>
                <w:sz w:val="20"/>
                <w:szCs w:val="21"/>
                <w:lang w:val="en-US" w:eastAsia="zh-CN" w:bidi="ar-SA"/>
              </w:rPr>
              <w:t>1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1"/>
              </w:rPr>
              <w:t>个专业室人员负偏离扣4分。</w:t>
            </w:r>
          </w:p>
          <w:p w14:paraId="3EBB93F1">
            <w:pPr>
              <w:pStyle w:val="3"/>
              <w:ind w:firstLine="0" w:firstLineChars="0"/>
              <w:rPr>
                <w:rFonts w:ascii="宋体" w:hAnsi="宋体" w:eastAsia="宋体" w:cs="Times New Roman"/>
                <w:color w:val="auto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auto"/>
                <w:kern w:val="0"/>
                <w:sz w:val="20"/>
                <w:szCs w:val="21"/>
              </w:rPr>
              <w:t>业绩要求：</w:t>
            </w:r>
            <w:r>
              <w:rPr>
                <w:rFonts w:hint="eastAsia" w:ascii="宋体" w:hAnsi="宋体" w:eastAsia="宋体" w:cs="Times New Roman"/>
                <w:b w:val="0"/>
                <w:bCs w:val="0"/>
                <w:color w:val="auto"/>
                <w:kern w:val="0"/>
                <w:sz w:val="20"/>
                <w:szCs w:val="21"/>
                <w:lang w:val="en-US" w:eastAsia="zh-CN" w:bidi="ar-SA"/>
              </w:rPr>
              <w:t>提供</w:t>
            </w:r>
            <w:r>
              <w:rPr>
                <w:rFonts w:hint="eastAsia" w:ascii="宋体" w:hAnsi="宋体" w:eastAsia="宋体" w:cs="Times New Roman"/>
                <w:b w:val="0"/>
                <w:bCs w:val="0"/>
                <w:color w:val="auto"/>
                <w:kern w:val="0"/>
                <w:sz w:val="20"/>
                <w:szCs w:val="21"/>
                <w:lang w:val="en-US" w:eastAsia="zh-CN"/>
              </w:rPr>
              <w:t>2022年1月1日至2025年5月31期间的类似业绩，</w:t>
            </w:r>
            <w:r>
              <w:rPr>
                <w:rFonts w:hint="eastAsia" w:ascii="宋体" w:hAnsi="宋体" w:eastAsia="宋体" w:cs="Times New Roman"/>
                <w:b w:val="0"/>
                <w:bCs w:val="0"/>
                <w:color w:val="auto"/>
                <w:kern w:val="0"/>
                <w:sz w:val="20"/>
                <w:szCs w:val="21"/>
              </w:rPr>
              <w:t>每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1"/>
              </w:rPr>
              <w:t>提供1份合同或成交通知书得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1"/>
                <w:lang w:val="en-US" w:eastAsia="zh-CN"/>
              </w:rPr>
              <w:t>1.2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1"/>
              </w:rPr>
              <w:t>分，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1"/>
                <w:lang w:val="en-US" w:eastAsia="zh-CN"/>
              </w:rPr>
              <w:t>最多可得4.8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1"/>
              </w:rPr>
              <w:t>分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1"/>
                <w:lang w:eastAsia="zh-CN"/>
              </w:rPr>
              <w:t>，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1"/>
                <w:lang w:val="en-US" w:eastAsia="zh-CN"/>
              </w:rPr>
              <w:t>未提供不得分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1"/>
              </w:rPr>
              <w:t>。</w:t>
            </w:r>
          </w:p>
          <w:p w14:paraId="284FBAB2">
            <w:pPr>
              <w:pStyle w:val="3"/>
              <w:ind w:firstLine="0" w:firstLineChars="0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</w:p>
        </w:tc>
        <w:tc>
          <w:tcPr>
            <w:tcW w:w="1920" w:type="dxa"/>
            <w:vAlign w:val="center"/>
          </w:tcPr>
          <w:p w14:paraId="256A2E45">
            <w:pPr>
              <w:spacing w:line="360" w:lineRule="exact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未按要求提供资料的视为负偏离。</w:t>
            </w:r>
          </w:p>
        </w:tc>
      </w:tr>
      <w:tr w14:paraId="2F27F3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2" w:hRule="atLeast"/>
        </w:trPr>
        <w:tc>
          <w:tcPr>
            <w:tcW w:w="720" w:type="dxa"/>
            <w:vAlign w:val="center"/>
          </w:tcPr>
          <w:p w14:paraId="18B582DC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3</w:t>
            </w:r>
          </w:p>
        </w:tc>
        <w:tc>
          <w:tcPr>
            <w:tcW w:w="1140" w:type="dxa"/>
            <w:vAlign w:val="center"/>
          </w:tcPr>
          <w:p w14:paraId="7853BBDB">
            <w:pPr>
              <w:spacing w:line="360" w:lineRule="exact"/>
              <w:rPr>
                <w:rFonts w:ascii="宋体" w:hAnsi="宋体" w:cs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报价完整率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>25.2</w:t>
            </w:r>
            <w:r>
              <w:rPr>
                <w:rFonts w:hint="eastAsia" w:ascii="宋体" w:hAnsi="宋体" w:cs="宋体"/>
                <w:color w:val="auto"/>
                <w:szCs w:val="21"/>
              </w:rPr>
              <w:t>%</w:t>
            </w:r>
          </w:p>
        </w:tc>
        <w:tc>
          <w:tcPr>
            <w:tcW w:w="675" w:type="dxa"/>
            <w:vAlign w:val="center"/>
          </w:tcPr>
          <w:p w14:paraId="57DDDB98">
            <w:pPr>
              <w:spacing w:line="360" w:lineRule="exact"/>
              <w:jc w:val="left"/>
              <w:rPr>
                <w:rFonts w:ascii="宋体" w:hAnsi="宋体" w:cs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>25.2</w:t>
            </w:r>
            <w:r>
              <w:rPr>
                <w:rFonts w:hint="eastAsia" w:ascii="宋体" w:hAnsi="宋体" w:cs="宋体"/>
                <w:color w:val="auto"/>
                <w:szCs w:val="21"/>
              </w:rPr>
              <w:t>分</w:t>
            </w:r>
          </w:p>
        </w:tc>
        <w:tc>
          <w:tcPr>
            <w:tcW w:w="4755" w:type="dxa"/>
            <w:vAlign w:val="center"/>
          </w:tcPr>
          <w:p w14:paraId="4AA5ADCF">
            <w:pPr>
              <w:spacing w:line="360" w:lineRule="exact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1"/>
              </w:rPr>
              <w:t>本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1"/>
                <w:lang w:val="en-US" w:eastAsia="zh-CN"/>
              </w:rPr>
              <w:t>项目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1"/>
              </w:rPr>
              <w:t>报价共计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1"/>
                <w:lang w:val="en-US" w:eastAsia="zh-CN"/>
              </w:rPr>
              <w:t>126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1"/>
              </w:rPr>
              <w:t>项，报价完整得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1"/>
                <w:lang w:val="en-US" w:eastAsia="zh-CN"/>
              </w:rPr>
              <w:t>25.2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1"/>
              </w:rPr>
              <w:t>分，每1项缺项扣0.2分。</w:t>
            </w:r>
          </w:p>
        </w:tc>
        <w:tc>
          <w:tcPr>
            <w:tcW w:w="1920" w:type="dxa"/>
            <w:vAlign w:val="center"/>
          </w:tcPr>
          <w:p w14:paraId="5E224A95">
            <w:pPr>
              <w:spacing w:line="360" w:lineRule="exact"/>
              <w:rPr>
                <w:rFonts w:ascii="宋体" w:hAnsi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1"/>
                <w:lang w:val="en-US" w:eastAsia="zh-CN"/>
              </w:rPr>
              <w:t>报价项为“送检”的，须在报价表中注明对应的检测机构名称，并提供该检测机构的资质资料，同一检测机构的资料无需重复提供；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1"/>
              </w:rPr>
              <w:t>报价不符合比选要求视为缺项。</w:t>
            </w:r>
          </w:p>
        </w:tc>
      </w:tr>
      <w:tr w14:paraId="417BCB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2" w:hRule="atLeast"/>
        </w:trPr>
        <w:tc>
          <w:tcPr>
            <w:tcW w:w="720" w:type="dxa"/>
            <w:vAlign w:val="center"/>
          </w:tcPr>
          <w:p w14:paraId="6A2DBE2A">
            <w:pPr>
              <w:jc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4</w:t>
            </w:r>
          </w:p>
        </w:tc>
        <w:tc>
          <w:tcPr>
            <w:tcW w:w="1140" w:type="dxa"/>
            <w:vAlign w:val="center"/>
          </w:tcPr>
          <w:p w14:paraId="26C042E0">
            <w:pPr>
              <w:spacing w:line="360" w:lineRule="exact"/>
              <w:rPr>
                <w:rFonts w:hint="default" w:ascii="宋体" w:hAnsi="宋体" w:cs="宋体" w:eastAsiaTheme="minorEastAsia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>实施方案5%</w:t>
            </w:r>
          </w:p>
        </w:tc>
        <w:tc>
          <w:tcPr>
            <w:tcW w:w="675" w:type="dxa"/>
            <w:vAlign w:val="center"/>
          </w:tcPr>
          <w:p w14:paraId="571EDAF8">
            <w:pPr>
              <w:spacing w:line="360" w:lineRule="exact"/>
              <w:jc w:val="left"/>
              <w:rPr>
                <w:rFonts w:hint="default" w:ascii="宋体" w:hAnsi="宋体" w:cs="宋体" w:eastAsiaTheme="minorEastAsia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>5分</w:t>
            </w:r>
          </w:p>
        </w:tc>
        <w:tc>
          <w:tcPr>
            <w:tcW w:w="4755" w:type="dxa"/>
            <w:vAlign w:val="center"/>
          </w:tcPr>
          <w:p w14:paraId="05DBA885">
            <w:pPr>
              <w:snapToGrid w:val="0"/>
              <w:spacing w:line="360" w:lineRule="auto"/>
              <w:ind w:right="120" w:firstLine="400" w:firstLineChars="200"/>
              <w:textAlignment w:val="baseline"/>
              <w:rPr>
                <w:rFonts w:hint="eastAsia" w:ascii="宋体" w:hAnsi="宋体" w:eastAsia="宋体" w:cs="Times New Roman"/>
                <w:b w:val="0"/>
                <w:bCs w:val="0"/>
                <w:color w:val="auto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color w:val="auto"/>
                <w:kern w:val="0"/>
                <w:sz w:val="20"/>
                <w:szCs w:val="21"/>
                <w:lang w:val="en-US" w:eastAsia="zh-CN" w:bidi="ar-SA"/>
              </w:rPr>
              <w:t>根据供应商提供的实施方案进行评审，包括：①项目实施计划、②运输方案、③项目人员组成、④服务质量保障措施、⑤应急处理措施等；</w:t>
            </w:r>
          </w:p>
          <w:p w14:paraId="44CC0653">
            <w:pPr>
              <w:spacing w:line="360" w:lineRule="exact"/>
              <w:ind w:firstLine="400" w:firstLineChars="200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color w:val="auto"/>
                <w:kern w:val="0"/>
                <w:sz w:val="20"/>
                <w:szCs w:val="21"/>
                <w:lang w:val="en-US" w:eastAsia="zh-CN" w:bidi="ar-SA"/>
              </w:rPr>
              <w:t>方案完全满足项目需求得5分。每缺一项内容扣1分，每有一处内容有缺陷扣0.5分，扣完为止。（缺陷是指：提供的方案与项目无关或方案内容不满足项目实际需求，内容逻辑错误混乱，只有单纯的文字描述，不具备实施的可能性，照搬比选文件原文内容且未进一步描述中的任意一种情形。）</w:t>
            </w:r>
          </w:p>
        </w:tc>
        <w:tc>
          <w:tcPr>
            <w:tcW w:w="1920" w:type="dxa"/>
            <w:vAlign w:val="center"/>
          </w:tcPr>
          <w:p w14:paraId="429761F1">
            <w:pPr>
              <w:spacing w:line="360" w:lineRule="exact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1"/>
                <w:lang w:val="en-US" w:eastAsia="zh-CN"/>
              </w:rPr>
            </w:pPr>
          </w:p>
        </w:tc>
      </w:tr>
    </w:tbl>
    <w:p w14:paraId="4EE9789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893D04"/>
    <w:rsid w:val="012D1DE0"/>
    <w:rsid w:val="01421F53"/>
    <w:rsid w:val="02F36B67"/>
    <w:rsid w:val="043B446F"/>
    <w:rsid w:val="052566F9"/>
    <w:rsid w:val="05AD014D"/>
    <w:rsid w:val="068F1D5D"/>
    <w:rsid w:val="075A33B9"/>
    <w:rsid w:val="08115998"/>
    <w:rsid w:val="09A12E56"/>
    <w:rsid w:val="0D954FBC"/>
    <w:rsid w:val="0EAB6E91"/>
    <w:rsid w:val="0F3808D8"/>
    <w:rsid w:val="0F70478C"/>
    <w:rsid w:val="10B6449C"/>
    <w:rsid w:val="10CF2831"/>
    <w:rsid w:val="1120433B"/>
    <w:rsid w:val="123C1ECA"/>
    <w:rsid w:val="1261638A"/>
    <w:rsid w:val="128602E0"/>
    <w:rsid w:val="132C2EE8"/>
    <w:rsid w:val="13776ADE"/>
    <w:rsid w:val="145F0830"/>
    <w:rsid w:val="15E13D81"/>
    <w:rsid w:val="162A19EC"/>
    <w:rsid w:val="16523DD9"/>
    <w:rsid w:val="17927A55"/>
    <w:rsid w:val="17D856EE"/>
    <w:rsid w:val="183A395D"/>
    <w:rsid w:val="18556E90"/>
    <w:rsid w:val="18E177D5"/>
    <w:rsid w:val="19AB6C25"/>
    <w:rsid w:val="1BD920E1"/>
    <w:rsid w:val="1D701CEE"/>
    <w:rsid w:val="1FA57936"/>
    <w:rsid w:val="224B4D62"/>
    <w:rsid w:val="23800FBA"/>
    <w:rsid w:val="24AF11E5"/>
    <w:rsid w:val="24C82AE0"/>
    <w:rsid w:val="24E55554"/>
    <w:rsid w:val="25520CE0"/>
    <w:rsid w:val="261F1D3D"/>
    <w:rsid w:val="265D41D5"/>
    <w:rsid w:val="26F65161"/>
    <w:rsid w:val="272902C9"/>
    <w:rsid w:val="28DF6753"/>
    <w:rsid w:val="290B153A"/>
    <w:rsid w:val="297C5035"/>
    <w:rsid w:val="2CC068DF"/>
    <w:rsid w:val="2D2D4189"/>
    <w:rsid w:val="2D976922"/>
    <w:rsid w:val="2DA1576A"/>
    <w:rsid w:val="2FBA339E"/>
    <w:rsid w:val="302411B6"/>
    <w:rsid w:val="318F145D"/>
    <w:rsid w:val="32DD3CB4"/>
    <w:rsid w:val="35666910"/>
    <w:rsid w:val="358D65F2"/>
    <w:rsid w:val="35C278E4"/>
    <w:rsid w:val="377776B7"/>
    <w:rsid w:val="3B920345"/>
    <w:rsid w:val="3C3A2E92"/>
    <w:rsid w:val="3DB0337B"/>
    <w:rsid w:val="3E1A31B4"/>
    <w:rsid w:val="3F7E44C8"/>
    <w:rsid w:val="405E09AE"/>
    <w:rsid w:val="40F22370"/>
    <w:rsid w:val="42385900"/>
    <w:rsid w:val="423E6042"/>
    <w:rsid w:val="42893D04"/>
    <w:rsid w:val="42EB5C75"/>
    <w:rsid w:val="43452AB4"/>
    <w:rsid w:val="457D2A22"/>
    <w:rsid w:val="48A7794D"/>
    <w:rsid w:val="49BF7008"/>
    <w:rsid w:val="49E62EF4"/>
    <w:rsid w:val="4A4C5265"/>
    <w:rsid w:val="52095011"/>
    <w:rsid w:val="52FE43F1"/>
    <w:rsid w:val="547B30BF"/>
    <w:rsid w:val="54B245F7"/>
    <w:rsid w:val="5517670A"/>
    <w:rsid w:val="5535693B"/>
    <w:rsid w:val="5A3555B2"/>
    <w:rsid w:val="5CD10D08"/>
    <w:rsid w:val="5CF103D6"/>
    <w:rsid w:val="5DF14324"/>
    <w:rsid w:val="60A25FB6"/>
    <w:rsid w:val="6241485F"/>
    <w:rsid w:val="6290438C"/>
    <w:rsid w:val="62A01FBB"/>
    <w:rsid w:val="66CB0513"/>
    <w:rsid w:val="688D28CF"/>
    <w:rsid w:val="689308F6"/>
    <w:rsid w:val="6A3A5D45"/>
    <w:rsid w:val="6C9E5757"/>
    <w:rsid w:val="6CDA0048"/>
    <w:rsid w:val="6CF2108D"/>
    <w:rsid w:val="6DAE4924"/>
    <w:rsid w:val="6ECE3354"/>
    <w:rsid w:val="6F8C782C"/>
    <w:rsid w:val="6FE61687"/>
    <w:rsid w:val="71285D2D"/>
    <w:rsid w:val="73B1262E"/>
    <w:rsid w:val="741C6165"/>
    <w:rsid w:val="74253BA2"/>
    <w:rsid w:val="75B554CA"/>
    <w:rsid w:val="761D5E35"/>
    <w:rsid w:val="76F77E21"/>
    <w:rsid w:val="77E229CC"/>
    <w:rsid w:val="78651B93"/>
    <w:rsid w:val="78F262CC"/>
    <w:rsid w:val="7A677D0A"/>
    <w:rsid w:val="7B80459E"/>
    <w:rsid w:val="7CC769C3"/>
    <w:rsid w:val="7FE36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semiHidden/>
    <w:unhideWhenUsed/>
    <w:qFormat/>
    <w:uiPriority w:val="99"/>
    <w:pPr>
      <w:spacing w:after="120"/>
    </w:pPr>
  </w:style>
  <w:style w:type="paragraph" w:styleId="3">
    <w:name w:val="Body Text First Indent"/>
    <w:basedOn w:val="2"/>
    <w:semiHidden/>
    <w:unhideWhenUsed/>
    <w:qFormat/>
    <w:uiPriority w:val="99"/>
    <w:pPr>
      <w:ind w:firstLine="420" w:firstLineChars="100"/>
    </w:p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686</Words>
  <Characters>737</Characters>
  <Lines>0</Lines>
  <Paragraphs>0</Paragraphs>
  <TotalTime>14</TotalTime>
  <ScaleCrop>false</ScaleCrop>
  <LinksUpToDate>false</LinksUpToDate>
  <CharactersWithSpaces>737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2025-06-10T03:12:00Z</dcterms:created>
  <dc:creator>邹丹</dc:creator>
  <cp:lastModifiedBy>87656</cp:lastModifiedBy>
  <dcterms:modified xsi:type="dcterms:W3CDTF">2026-07-01T08:36:48Z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7C67CFA883BA40E5A3677D7C13476F8B_13</vt:lpwstr>
  </property>
  <property fmtid="{D5CDD505-2E9C-101B-9397-08002B2CF9AE}" pid="4" name="KSOTemplateDocerSaveRecord">
    <vt:lpwstr>eyJoZGlkIjoiY2U3YjNmYTg1YmNlYTg1YzMyMWE1MTc3Mzk4ZWU5MGMiLCJ1c2VySWQiOiIxNTY4NzI3MDExIn0=</vt:lpwstr>
  </property>
</Properties>
</file>