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附件3</w:t>
      </w:r>
    </w:p>
    <w:p>
      <w:pPr>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比选方法</w:t>
      </w:r>
    </w:p>
    <w:p>
      <w:pPr>
        <w:widowControl/>
        <w:numPr>
          <w:ilvl w:val="0"/>
          <w:numId w:val="0"/>
        </w:numPr>
        <w:shd w:val="clear" w:color="auto" w:fill="FFFFFF"/>
        <w:spacing w:before="136" w:after="136"/>
        <w:ind w:leftChars="175" w:firstLine="3132" w:firstLineChars="1300"/>
        <w:jc w:val="both"/>
        <w:rPr>
          <w:rFonts w:hint="eastAsia" w:ascii="宋体" w:hAnsi="宋体" w:cs="宋体"/>
          <w:b/>
          <w:bCs/>
          <w:color w:val="auto"/>
          <w:kern w:val="0"/>
          <w:sz w:val="24"/>
          <w:szCs w:val="24"/>
        </w:rPr>
      </w:pPr>
      <w:r>
        <w:rPr>
          <w:rFonts w:hint="eastAsia" w:ascii="宋体" w:hAnsi="宋体" w:cs="宋体"/>
          <w:b/>
          <w:bCs/>
          <w:color w:val="auto"/>
          <w:kern w:val="0"/>
          <w:sz w:val="24"/>
          <w:szCs w:val="24"/>
          <w:lang w:val="en-US" w:eastAsia="zh-CN"/>
        </w:rPr>
        <w:t>综合评分表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52"/>
        <w:gridCol w:w="754"/>
        <w:gridCol w:w="4240"/>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360" w:lineRule="auto"/>
              <w:ind w:firstLine="28" w:firstLineChars="0"/>
              <w:jc w:val="center"/>
              <w:rPr>
                <w:rFonts w:hint="eastAsia" w:ascii="宋体" w:hAnsi="宋体" w:eastAsia="宋体" w:cs="Times New Roman"/>
                <w:b/>
                <w:color w:val="auto"/>
                <w:kern w:val="2"/>
                <w:sz w:val="21"/>
                <w:szCs w:val="21"/>
                <w:lang w:val="en-US" w:eastAsia="zh-CN" w:bidi="ar-SA"/>
              </w:rPr>
            </w:pPr>
            <w:r>
              <w:rPr>
                <w:rFonts w:ascii="宋体" w:hAnsi="宋体"/>
                <w:b/>
                <w:color w:val="auto"/>
                <w:sz w:val="21"/>
                <w:szCs w:val="21"/>
              </w:rPr>
              <w:t>序号</w:t>
            </w:r>
          </w:p>
        </w:tc>
        <w:tc>
          <w:tcPr>
            <w:tcW w:w="1352" w:type="dxa"/>
            <w:noWrap w:val="0"/>
            <w:vAlign w:val="center"/>
          </w:tcPr>
          <w:p>
            <w:pPr>
              <w:spacing w:line="360" w:lineRule="auto"/>
              <w:ind w:firstLine="28"/>
              <w:jc w:val="center"/>
              <w:rPr>
                <w:rFonts w:ascii="宋体" w:hAnsi="宋体"/>
                <w:b/>
                <w:color w:val="auto"/>
                <w:sz w:val="21"/>
                <w:szCs w:val="21"/>
              </w:rPr>
            </w:pPr>
            <w:r>
              <w:rPr>
                <w:rFonts w:ascii="宋体" w:hAnsi="宋体"/>
                <w:b/>
                <w:color w:val="auto"/>
                <w:sz w:val="21"/>
                <w:szCs w:val="21"/>
              </w:rPr>
              <w:t>评分因素</w:t>
            </w:r>
          </w:p>
          <w:p>
            <w:pPr>
              <w:spacing w:line="360" w:lineRule="auto"/>
              <w:ind w:firstLine="28" w:firstLineChars="0"/>
              <w:jc w:val="center"/>
              <w:rPr>
                <w:rFonts w:hint="eastAsia" w:ascii="宋体" w:hAnsi="宋体" w:eastAsia="宋体" w:cs="Times New Roman"/>
                <w:b/>
                <w:color w:val="auto"/>
                <w:kern w:val="2"/>
                <w:sz w:val="21"/>
                <w:szCs w:val="21"/>
                <w:lang w:val="en-US" w:eastAsia="zh-CN" w:bidi="ar-SA"/>
              </w:rPr>
            </w:pPr>
            <w:r>
              <w:rPr>
                <w:rFonts w:ascii="宋体" w:hAnsi="宋体"/>
                <w:b/>
                <w:color w:val="auto"/>
                <w:sz w:val="21"/>
                <w:szCs w:val="21"/>
              </w:rPr>
              <w:t>及权重</w:t>
            </w:r>
          </w:p>
        </w:tc>
        <w:tc>
          <w:tcPr>
            <w:tcW w:w="754" w:type="dxa"/>
            <w:noWrap w:val="0"/>
            <w:vAlign w:val="center"/>
          </w:tcPr>
          <w:p>
            <w:pPr>
              <w:spacing w:line="360" w:lineRule="auto"/>
              <w:ind w:firstLine="28" w:firstLineChars="0"/>
              <w:jc w:val="center"/>
              <w:rPr>
                <w:rFonts w:hint="eastAsia" w:ascii="宋体" w:hAnsi="宋体" w:eastAsia="宋体" w:cs="Times New Roman"/>
                <w:b/>
                <w:color w:val="auto"/>
                <w:kern w:val="2"/>
                <w:sz w:val="21"/>
                <w:szCs w:val="21"/>
                <w:lang w:val="en-US" w:eastAsia="zh-CN" w:bidi="ar-SA"/>
              </w:rPr>
            </w:pPr>
            <w:r>
              <w:rPr>
                <w:rFonts w:ascii="宋体" w:hAnsi="宋体"/>
                <w:b/>
                <w:color w:val="auto"/>
                <w:sz w:val="21"/>
                <w:szCs w:val="21"/>
              </w:rPr>
              <w:t>分值</w:t>
            </w:r>
          </w:p>
        </w:tc>
        <w:tc>
          <w:tcPr>
            <w:tcW w:w="4240" w:type="dxa"/>
            <w:noWrap w:val="0"/>
            <w:vAlign w:val="center"/>
          </w:tcPr>
          <w:p>
            <w:pPr>
              <w:spacing w:line="360" w:lineRule="auto"/>
              <w:ind w:firstLine="28" w:firstLineChars="0"/>
              <w:jc w:val="center"/>
              <w:rPr>
                <w:rFonts w:hint="eastAsia" w:ascii="宋体" w:hAnsi="宋体" w:eastAsia="宋体" w:cs="Times New Roman"/>
                <w:b/>
                <w:color w:val="auto"/>
                <w:kern w:val="2"/>
                <w:sz w:val="21"/>
                <w:szCs w:val="21"/>
                <w:lang w:val="en-US" w:eastAsia="zh-CN" w:bidi="ar-SA"/>
              </w:rPr>
            </w:pPr>
            <w:r>
              <w:rPr>
                <w:rFonts w:ascii="宋体" w:hAnsi="宋体"/>
                <w:b/>
                <w:color w:val="auto"/>
                <w:sz w:val="21"/>
                <w:szCs w:val="21"/>
              </w:rPr>
              <w:t>评分标准</w:t>
            </w:r>
          </w:p>
        </w:tc>
        <w:tc>
          <w:tcPr>
            <w:tcW w:w="1451" w:type="dxa"/>
            <w:noWrap w:val="0"/>
            <w:vAlign w:val="center"/>
          </w:tcPr>
          <w:p>
            <w:pPr>
              <w:spacing w:line="360" w:lineRule="auto"/>
              <w:jc w:val="center"/>
              <w:rPr>
                <w:rFonts w:hint="eastAsia" w:ascii="宋体" w:hAnsi="宋体" w:eastAsia="宋体" w:cs="Times New Roman"/>
                <w:b/>
                <w:color w:val="auto"/>
                <w:kern w:val="2"/>
                <w:sz w:val="21"/>
                <w:szCs w:val="21"/>
                <w:lang w:val="en-US" w:eastAsia="zh-CN" w:bidi="ar-SA"/>
              </w:rPr>
            </w:pPr>
            <w:r>
              <w:rPr>
                <w:rFonts w:ascii="宋体" w:hAnsi="宋体"/>
                <w:b/>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p>
        </w:tc>
        <w:tc>
          <w:tcPr>
            <w:tcW w:w="1352" w:type="dxa"/>
            <w:noWrap w:val="0"/>
            <w:vAlign w:val="center"/>
          </w:tcPr>
          <w:p>
            <w:pPr>
              <w:bidi w:val="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p>
        </w:tc>
        <w:tc>
          <w:tcPr>
            <w:tcW w:w="754" w:type="dxa"/>
            <w:noWrap w:val="0"/>
            <w:vAlign w:val="center"/>
          </w:tcPr>
          <w:p>
            <w:pPr>
              <w:bidi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4240" w:type="dxa"/>
            <w:noWrap w:val="0"/>
            <w:vAlign w:val="center"/>
          </w:tcPr>
          <w:p>
            <w:pPr>
              <w:spacing w:line="360" w:lineRule="exact"/>
              <w:rPr>
                <w:rFonts w:hint="eastAsia"/>
                <w:color w:val="auto"/>
                <w:sz w:val="21"/>
                <w:szCs w:val="21"/>
              </w:rPr>
            </w:pPr>
            <w:r>
              <w:rPr>
                <w:rFonts w:hint="eastAsia"/>
                <w:color w:val="auto"/>
                <w:sz w:val="21"/>
                <w:szCs w:val="21"/>
                <w:lang w:val="en-US" w:eastAsia="zh-CN"/>
              </w:rPr>
              <w:t>综合评分法中的价格分统一采用低价优先法计算，即满足招标文件要求且投标价格最低的投标报价为评标基准价，其价格分为满分。其他投标人的价格分统一按照下列公式计算：</w:t>
            </w:r>
          </w:p>
          <w:p>
            <w:pPr>
              <w:spacing w:line="360" w:lineRule="exact"/>
              <w:rPr>
                <w:rFonts w:hint="eastAsia" w:ascii="宋体" w:hAnsi="宋体" w:eastAsia="宋体" w:cs="宋体"/>
                <w:color w:val="auto"/>
                <w:kern w:val="2"/>
                <w:sz w:val="21"/>
                <w:szCs w:val="21"/>
                <w:lang w:val="en-US" w:eastAsia="zh-CN" w:bidi="ar-SA"/>
              </w:rPr>
            </w:pPr>
            <w:r>
              <w:rPr>
                <w:rFonts w:hint="eastAsia"/>
                <w:color w:val="auto"/>
                <w:sz w:val="21"/>
                <w:szCs w:val="21"/>
                <w:lang w:val="en-US" w:eastAsia="zh-CN"/>
              </w:rPr>
              <w:t>投标报价得分=(评标基准价／投标报价)×价格权值×100</w:t>
            </w:r>
          </w:p>
        </w:tc>
        <w:tc>
          <w:tcPr>
            <w:tcW w:w="1451" w:type="dxa"/>
            <w:noWrap w:val="0"/>
            <w:vAlign w:val="center"/>
          </w:tcPr>
          <w:p>
            <w:pPr>
              <w:spacing w:line="360" w:lineRule="exact"/>
              <w:jc w:val="both"/>
              <w:rPr>
                <w:rFonts w:hint="default" w:ascii="宋体" w:hAnsi="宋体" w:eastAsia="宋体" w:cs="宋体"/>
                <w:color w:val="auto"/>
                <w:kern w:val="2"/>
                <w:sz w:val="21"/>
                <w:szCs w:val="21"/>
                <w:lang w:val="en-US" w:eastAsia="zh-CN" w:bidi="ar-SA"/>
              </w:rPr>
            </w:pPr>
            <w:r>
              <w:rPr>
                <w:rFonts w:hint="eastAsia"/>
                <w:color w:val="auto"/>
                <w:sz w:val="21"/>
                <w:szCs w:val="21"/>
                <w:lang w:val="en-US" w:eastAsia="zh-CN"/>
              </w:rPr>
              <w:t>一次性报价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25" w:type="dxa"/>
            <w:vMerge w:val="restart"/>
            <w:noWrap w:val="0"/>
            <w:vAlign w:val="center"/>
          </w:tcPr>
          <w:p>
            <w:pPr>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352" w:type="dxa"/>
            <w:vMerge w:val="restart"/>
            <w:noWrap w:val="0"/>
            <w:vAlign w:val="center"/>
          </w:tcPr>
          <w:p>
            <w:pPr>
              <w:spacing w:line="360" w:lineRule="exact"/>
              <w:jc w:val="both"/>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资质及其他要求70%</w:t>
            </w:r>
          </w:p>
        </w:tc>
        <w:tc>
          <w:tcPr>
            <w:tcW w:w="754" w:type="dxa"/>
            <w:vMerge w:val="restart"/>
            <w:noWrap w:val="0"/>
            <w:vAlign w:val="center"/>
          </w:tcPr>
          <w:p>
            <w:pPr>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70</w:t>
            </w:r>
            <w:r>
              <w:rPr>
                <w:rFonts w:hint="eastAsia" w:ascii="宋体" w:hAnsi="宋体" w:cs="宋体"/>
                <w:color w:val="auto"/>
                <w:sz w:val="21"/>
                <w:szCs w:val="21"/>
              </w:rPr>
              <w:t>分</w:t>
            </w:r>
          </w:p>
        </w:tc>
        <w:tc>
          <w:tcPr>
            <w:tcW w:w="4240" w:type="dxa"/>
            <w:noWrap w:val="0"/>
            <w:vAlign w:val="center"/>
          </w:tcPr>
          <w:p>
            <w:pPr>
              <w:numPr>
                <w:numId w:val="0"/>
              </w:numPr>
              <w:spacing w:line="360" w:lineRule="exact"/>
              <w:rPr>
                <w:rFonts w:hint="default"/>
                <w:lang w:val="en-US" w:eastAsia="zh-CN"/>
              </w:rPr>
            </w:pPr>
            <w:r>
              <w:rPr>
                <w:rFonts w:hint="eastAsia"/>
                <w:lang w:val="en-US" w:eastAsia="zh-CN"/>
              </w:rPr>
              <w:t>人员：完全满足得12分，一项不满足扣4分，扣完为止；</w:t>
            </w:r>
          </w:p>
        </w:tc>
        <w:tc>
          <w:tcPr>
            <w:tcW w:w="1451" w:type="dxa"/>
            <w:vMerge w:val="restart"/>
            <w:noWrap w:val="0"/>
            <w:vAlign w:val="center"/>
          </w:tcPr>
          <w:p>
            <w:pPr>
              <w:spacing w:line="360" w:lineRule="exact"/>
              <w:jc w:val="both"/>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未按要求提供</w:t>
            </w:r>
            <w:r>
              <w:rPr>
                <w:rFonts w:hint="eastAsia" w:ascii="宋体" w:hAnsi="宋体" w:cs="宋体"/>
                <w:color w:val="auto"/>
                <w:szCs w:val="21"/>
                <w:lang w:val="en-US" w:eastAsia="zh-CN"/>
              </w:rPr>
              <w:t>资料</w:t>
            </w:r>
            <w:r>
              <w:rPr>
                <w:rFonts w:hint="eastAsia" w:ascii="宋体" w:hAnsi="宋体" w:cs="宋体"/>
                <w:color w:val="auto"/>
                <w:szCs w:val="21"/>
              </w:rPr>
              <w:t>的视为负偏离</w:t>
            </w:r>
            <w:r>
              <w:rPr>
                <w:rFonts w:hint="eastAsia" w:ascii="宋体" w:hAnsi="宋体" w:cs="宋体"/>
                <w:color w:val="auto"/>
                <w:szCs w:val="21"/>
                <w:lang w:eastAsia="zh-CN"/>
              </w:rPr>
              <w:t>，</w:t>
            </w:r>
            <w:r>
              <w:rPr>
                <w:rFonts w:hint="eastAsia" w:ascii="宋体" w:hAnsi="宋体" w:cs="宋体"/>
                <w:color w:val="auto"/>
                <w:szCs w:val="21"/>
                <w:lang w:val="en-US" w:eastAsia="zh-CN"/>
              </w:rPr>
              <w:t>不得分</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25" w:type="dxa"/>
            <w:vMerge w:val="continue"/>
            <w:noWrap w:val="0"/>
            <w:vAlign w:val="center"/>
          </w:tcPr>
          <w:p>
            <w:pPr>
              <w:jc w:val="center"/>
              <w:rPr>
                <w:rFonts w:hint="eastAsia" w:ascii="宋体" w:hAnsi="宋体" w:eastAsia="宋体" w:cs="宋体"/>
                <w:color w:val="auto"/>
                <w:sz w:val="21"/>
                <w:szCs w:val="21"/>
                <w:vertAlign w:val="baseline"/>
                <w:lang w:val="en-US" w:eastAsia="zh-CN"/>
              </w:rPr>
            </w:pPr>
          </w:p>
        </w:tc>
        <w:tc>
          <w:tcPr>
            <w:tcW w:w="1352" w:type="dxa"/>
            <w:vMerge w:val="continue"/>
            <w:noWrap w:val="0"/>
            <w:vAlign w:val="center"/>
          </w:tcPr>
          <w:p>
            <w:pPr>
              <w:spacing w:line="360" w:lineRule="exact"/>
              <w:jc w:val="both"/>
              <w:rPr>
                <w:rFonts w:hint="eastAsia" w:ascii="宋体" w:hAnsi="宋体" w:cs="宋体"/>
                <w:color w:val="auto"/>
                <w:sz w:val="21"/>
                <w:szCs w:val="21"/>
                <w:lang w:val="en-US" w:eastAsia="zh-CN"/>
              </w:rPr>
            </w:pPr>
          </w:p>
        </w:tc>
        <w:tc>
          <w:tcPr>
            <w:tcW w:w="754" w:type="dxa"/>
            <w:vMerge w:val="continue"/>
            <w:noWrap w:val="0"/>
            <w:vAlign w:val="center"/>
          </w:tcPr>
          <w:p>
            <w:pPr>
              <w:spacing w:line="360" w:lineRule="exact"/>
              <w:jc w:val="left"/>
              <w:rPr>
                <w:rFonts w:hint="eastAsia" w:ascii="宋体" w:hAnsi="宋体" w:cs="宋体"/>
                <w:color w:val="auto"/>
                <w:sz w:val="21"/>
                <w:szCs w:val="21"/>
                <w:lang w:val="en-US" w:eastAsia="zh-CN"/>
              </w:rPr>
            </w:pPr>
          </w:p>
        </w:tc>
        <w:tc>
          <w:tcPr>
            <w:tcW w:w="4240" w:type="dxa"/>
            <w:noWrap w:val="0"/>
            <w:vAlign w:val="center"/>
          </w:tcPr>
          <w:p>
            <w:pPr>
              <w:pStyle w:val="4"/>
              <w:numPr>
                <w:numId w:val="0"/>
              </w:numPr>
              <w:ind w:leftChars="0"/>
              <w:rPr>
                <w:rFonts w:hint="eastAsia"/>
                <w:lang w:val="en-US" w:eastAsia="zh-CN"/>
              </w:rPr>
            </w:pPr>
            <w:r>
              <w:rPr>
                <w:rFonts w:hint="eastAsia"/>
                <w:lang w:val="en-US" w:eastAsia="zh-CN"/>
              </w:rPr>
              <w:t>设备：完全满足得12分，一项不满足扣3分，扣完为止；</w:t>
            </w:r>
          </w:p>
        </w:tc>
        <w:tc>
          <w:tcPr>
            <w:tcW w:w="1451" w:type="dxa"/>
            <w:vMerge w:val="continue"/>
            <w:noWrap w:val="0"/>
            <w:vAlign w:val="center"/>
          </w:tcPr>
          <w:p>
            <w:pPr>
              <w:spacing w:line="360" w:lineRule="exact"/>
              <w:jc w:val="both"/>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25" w:type="dxa"/>
            <w:vMerge w:val="continue"/>
            <w:noWrap w:val="0"/>
            <w:vAlign w:val="center"/>
          </w:tcPr>
          <w:p>
            <w:pPr>
              <w:jc w:val="center"/>
              <w:rPr>
                <w:rFonts w:hint="eastAsia" w:ascii="宋体" w:hAnsi="宋体" w:eastAsia="宋体" w:cs="宋体"/>
                <w:color w:val="auto"/>
                <w:sz w:val="21"/>
                <w:szCs w:val="21"/>
                <w:vertAlign w:val="baseline"/>
                <w:lang w:val="en-US" w:eastAsia="zh-CN"/>
              </w:rPr>
            </w:pPr>
          </w:p>
        </w:tc>
        <w:tc>
          <w:tcPr>
            <w:tcW w:w="1352" w:type="dxa"/>
            <w:vMerge w:val="continue"/>
            <w:noWrap w:val="0"/>
            <w:vAlign w:val="center"/>
          </w:tcPr>
          <w:p>
            <w:pPr>
              <w:spacing w:line="360" w:lineRule="exact"/>
              <w:jc w:val="both"/>
              <w:rPr>
                <w:rFonts w:hint="eastAsia" w:ascii="宋体" w:hAnsi="宋体" w:cs="宋体"/>
                <w:color w:val="auto"/>
                <w:sz w:val="21"/>
                <w:szCs w:val="21"/>
                <w:lang w:val="en-US" w:eastAsia="zh-CN"/>
              </w:rPr>
            </w:pPr>
          </w:p>
        </w:tc>
        <w:tc>
          <w:tcPr>
            <w:tcW w:w="754" w:type="dxa"/>
            <w:vMerge w:val="continue"/>
            <w:noWrap w:val="0"/>
            <w:vAlign w:val="center"/>
          </w:tcPr>
          <w:p>
            <w:pPr>
              <w:spacing w:line="360" w:lineRule="exact"/>
              <w:jc w:val="left"/>
              <w:rPr>
                <w:rFonts w:hint="eastAsia" w:ascii="宋体" w:hAnsi="宋体" w:cs="宋体"/>
                <w:color w:val="auto"/>
                <w:sz w:val="21"/>
                <w:szCs w:val="21"/>
                <w:lang w:val="en-US" w:eastAsia="zh-CN"/>
              </w:rPr>
            </w:pPr>
          </w:p>
        </w:tc>
        <w:tc>
          <w:tcPr>
            <w:tcW w:w="4240" w:type="dxa"/>
            <w:noWrap w:val="0"/>
            <w:vAlign w:val="center"/>
          </w:tcPr>
          <w:p>
            <w:pPr>
              <w:pStyle w:val="4"/>
              <w:numPr>
                <w:ilvl w:val="0"/>
                <w:numId w:val="0"/>
              </w:numPr>
              <w:ind w:leftChars="0"/>
              <w:rPr>
                <w:rFonts w:hint="eastAsia"/>
                <w:lang w:val="en-US" w:eastAsia="zh-CN"/>
              </w:rPr>
            </w:pPr>
            <w:r>
              <w:rPr>
                <w:rFonts w:hint="eastAsia"/>
                <w:lang w:val="en-US" w:eastAsia="zh-CN"/>
              </w:rPr>
              <w:t>材料：满足要求得6分，不满足要求不得分；</w:t>
            </w:r>
          </w:p>
        </w:tc>
        <w:tc>
          <w:tcPr>
            <w:tcW w:w="1451" w:type="dxa"/>
            <w:vMerge w:val="continue"/>
            <w:noWrap w:val="0"/>
            <w:vAlign w:val="center"/>
          </w:tcPr>
          <w:p>
            <w:pPr>
              <w:spacing w:line="360" w:lineRule="exact"/>
              <w:jc w:val="both"/>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25" w:type="dxa"/>
            <w:vMerge w:val="continue"/>
            <w:noWrap w:val="0"/>
            <w:vAlign w:val="center"/>
          </w:tcPr>
          <w:p>
            <w:pPr>
              <w:jc w:val="center"/>
              <w:rPr>
                <w:rFonts w:hint="eastAsia" w:ascii="宋体" w:hAnsi="宋体" w:eastAsia="宋体" w:cs="宋体"/>
                <w:color w:val="auto"/>
                <w:sz w:val="21"/>
                <w:szCs w:val="21"/>
                <w:vertAlign w:val="baseline"/>
                <w:lang w:val="en-US" w:eastAsia="zh-CN"/>
              </w:rPr>
            </w:pPr>
          </w:p>
        </w:tc>
        <w:tc>
          <w:tcPr>
            <w:tcW w:w="1352" w:type="dxa"/>
            <w:vMerge w:val="continue"/>
            <w:noWrap w:val="0"/>
            <w:vAlign w:val="center"/>
          </w:tcPr>
          <w:p>
            <w:pPr>
              <w:spacing w:line="360" w:lineRule="exact"/>
              <w:jc w:val="both"/>
              <w:rPr>
                <w:rFonts w:hint="eastAsia" w:ascii="宋体" w:hAnsi="宋体" w:cs="宋体"/>
                <w:color w:val="auto"/>
                <w:sz w:val="21"/>
                <w:szCs w:val="21"/>
                <w:lang w:val="en-US" w:eastAsia="zh-CN"/>
              </w:rPr>
            </w:pPr>
          </w:p>
        </w:tc>
        <w:tc>
          <w:tcPr>
            <w:tcW w:w="754" w:type="dxa"/>
            <w:vMerge w:val="continue"/>
            <w:noWrap w:val="0"/>
            <w:vAlign w:val="center"/>
          </w:tcPr>
          <w:p>
            <w:pPr>
              <w:spacing w:line="360" w:lineRule="exact"/>
              <w:jc w:val="left"/>
              <w:rPr>
                <w:rFonts w:hint="eastAsia" w:ascii="宋体" w:hAnsi="宋体" w:cs="宋体"/>
                <w:color w:val="auto"/>
                <w:sz w:val="21"/>
                <w:szCs w:val="21"/>
                <w:lang w:val="en-US" w:eastAsia="zh-CN"/>
              </w:rPr>
            </w:pPr>
          </w:p>
        </w:tc>
        <w:tc>
          <w:tcPr>
            <w:tcW w:w="4240" w:type="dxa"/>
            <w:noWrap w:val="0"/>
            <w:vAlign w:val="center"/>
          </w:tcPr>
          <w:p>
            <w:pPr>
              <w:pStyle w:val="4"/>
              <w:numPr>
                <w:numId w:val="0"/>
              </w:numPr>
              <w:ind w:leftChars="0"/>
              <w:rPr>
                <w:rFonts w:hint="eastAsia"/>
                <w:lang w:val="en-US" w:eastAsia="zh-CN"/>
              </w:rPr>
            </w:pPr>
            <w:r>
              <w:rPr>
                <w:rFonts w:hint="eastAsia"/>
                <w:lang w:val="en-US" w:eastAsia="zh-CN"/>
              </w:rPr>
              <w:t>业绩：每提交一份合同复印件得2分，最高得8分；</w:t>
            </w:r>
          </w:p>
        </w:tc>
        <w:tc>
          <w:tcPr>
            <w:tcW w:w="1451" w:type="dxa"/>
            <w:vMerge w:val="continue"/>
            <w:noWrap w:val="0"/>
            <w:vAlign w:val="center"/>
          </w:tcPr>
          <w:p>
            <w:pPr>
              <w:spacing w:line="360" w:lineRule="exact"/>
              <w:jc w:val="both"/>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725" w:type="dxa"/>
            <w:vMerge w:val="continue"/>
            <w:noWrap w:val="0"/>
            <w:vAlign w:val="center"/>
          </w:tcPr>
          <w:p>
            <w:pPr>
              <w:jc w:val="center"/>
              <w:rPr>
                <w:rFonts w:hint="eastAsia" w:ascii="宋体" w:hAnsi="宋体" w:eastAsia="宋体" w:cs="宋体"/>
                <w:color w:val="auto"/>
                <w:sz w:val="21"/>
                <w:szCs w:val="21"/>
                <w:vertAlign w:val="baseline"/>
                <w:lang w:val="en-US" w:eastAsia="zh-CN"/>
              </w:rPr>
            </w:pPr>
          </w:p>
        </w:tc>
        <w:tc>
          <w:tcPr>
            <w:tcW w:w="1352" w:type="dxa"/>
            <w:vMerge w:val="continue"/>
            <w:noWrap w:val="0"/>
            <w:vAlign w:val="center"/>
          </w:tcPr>
          <w:p>
            <w:pPr>
              <w:spacing w:line="360" w:lineRule="exact"/>
              <w:jc w:val="both"/>
              <w:rPr>
                <w:rFonts w:hint="eastAsia" w:ascii="宋体" w:hAnsi="宋体" w:cs="宋体"/>
                <w:color w:val="auto"/>
                <w:sz w:val="21"/>
                <w:szCs w:val="21"/>
                <w:lang w:val="en-US" w:eastAsia="zh-CN"/>
              </w:rPr>
            </w:pPr>
          </w:p>
        </w:tc>
        <w:tc>
          <w:tcPr>
            <w:tcW w:w="754" w:type="dxa"/>
            <w:vMerge w:val="continue"/>
            <w:noWrap w:val="0"/>
            <w:vAlign w:val="center"/>
          </w:tcPr>
          <w:p>
            <w:pPr>
              <w:spacing w:line="360" w:lineRule="exact"/>
              <w:jc w:val="left"/>
              <w:rPr>
                <w:rFonts w:hint="eastAsia" w:ascii="宋体" w:hAnsi="宋体" w:cs="宋体"/>
                <w:color w:val="auto"/>
                <w:sz w:val="21"/>
                <w:szCs w:val="21"/>
                <w:lang w:val="en-US" w:eastAsia="zh-CN"/>
              </w:rPr>
            </w:pPr>
          </w:p>
        </w:tc>
        <w:tc>
          <w:tcPr>
            <w:tcW w:w="4240" w:type="dxa"/>
            <w:noWrap w:val="0"/>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供应商根据本项目提供的服务质量保障措施内容包含</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rPr>
              <w:t>：</w:t>
            </w:r>
            <w:bookmarkStart w:id="0" w:name="_GoBack"/>
            <w:bookmarkEnd w:id="0"/>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①产品质量保障；</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②进货及出库质量管理措施；</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③配送时效保障；</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④配送安全保障；</w:t>
            </w:r>
          </w:p>
          <w:p>
            <w:pPr>
              <w:pStyle w:val="3"/>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内容完整齐全无缺失，完全满足项目要求的得16分；每缺少一项内容的扣4分；每有一处内容存在错误或不足或不符合实际情况的扣2分，扣完为止。</w:t>
            </w:r>
          </w:p>
          <w:p>
            <w:pPr>
              <w:pStyle w:val="4"/>
              <w:numPr>
                <w:numId w:val="0"/>
              </w:numPr>
              <w:ind w:leftChars="0"/>
              <w:rPr>
                <w:rFonts w:hint="eastAsia"/>
                <w:lang w:val="en-US" w:eastAsia="zh-CN"/>
              </w:rPr>
            </w:pPr>
            <w:r>
              <w:rPr>
                <w:rFonts w:hint="eastAsia" w:ascii="宋体" w:hAnsi="宋体" w:eastAsia="宋体" w:cs="宋体"/>
                <w:color w:val="auto"/>
                <w:sz w:val="21"/>
                <w:szCs w:val="21"/>
                <w:lang w:val="en-US" w:eastAsia="zh-CN"/>
              </w:rPr>
              <w:t>注：内容存在错误或不足或不符合实际情况是指提供的内容出现与项目无关、项目名称不符、实施地点不符、方案内容与项目需求不一致、脱离项目实际情况，方案内容存在凭空想象与编造、内容与实际实施存在差异性，语义表述不清、存在歧义、混乱，提供的方案不满足项目实际需求等。</w:t>
            </w:r>
          </w:p>
        </w:tc>
        <w:tc>
          <w:tcPr>
            <w:tcW w:w="1451" w:type="dxa"/>
            <w:vMerge w:val="continue"/>
            <w:noWrap w:val="0"/>
            <w:vAlign w:val="center"/>
          </w:tcPr>
          <w:p>
            <w:pPr>
              <w:spacing w:line="360" w:lineRule="exact"/>
              <w:jc w:val="both"/>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trPr>
        <w:tc>
          <w:tcPr>
            <w:tcW w:w="725" w:type="dxa"/>
            <w:vMerge w:val="continue"/>
            <w:noWrap w:val="0"/>
            <w:vAlign w:val="center"/>
          </w:tcPr>
          <w:p>
            <w:pPr>
              <w:jc w:val="center"/>
              <w:rPr>
                <w:rFonts w:hint="eastAsia" w:ascii="宋体" w:hAnsi="宋体" w:eastAsia="宋体" w:cs="宋体"/>
                <w:color w:val="auto"/>
                <w:sz w:val="21"/>
                <w:szCs w:val="21"/>
                <w:vertAlign w:val="baseline"/>
                <w:lang w:val="en-US" w:eastAsia="zh-CN"/>
              </w:rPr>
            </w:pPr>
          </w:p>
        </w:tc>
        <w:tc>
          <w:tcPr>
            <w:tcW w:w="1352" w:type="dxa"/>
            <w:vMerge w:val="continue"/>
            <w:noWrap w:val="0"/>
            <w:vAlign w:val="center"/>
          </w:tcPr>
          <w:p>
            <w:pPr>
              <w:spacing w:line="360" w:lineRule="exact"/>
              <w:jc w:val="both"/>
              <w:rPr>
                <w:rFonts w:hint="eastAsia" w:ascii="宋体" w:hAnsi="宋体" w:cs="宋体"/>
                <w:color w:val="auto"/>
                <w:sz w:val="21"/>
                <w:szCs w:val="21"/>
                <w:lang w:val="en-US" w:eastAsia="zh-CN"/>
              </w:rPr>
            </w:pPr>
          </w:p>
        </w:tc>
        <w:tc>
          <w:tcPr>
            <w:tcW w:w="754" w:type="dxa"/>
            <w:vMerge w:val="continue"/>
            <w:noWrap w:val="0"/>
            <w:vAlign w:val="center"/>
          </w:tcPr>
          <w:p>
            <w:pPr>
              <w:spacing w:line="360" w:lineRule="exact"/>
              <w:jc w:val="left"/>
              <w:rPr>
                <w:rFonts w:hint="eastAsia" w:ascii="宋体" w:hAnsi="宋体" w:cs="宋体"/>
                <w:color w:val="auto"/>
                <w:sz w:val="21"/>
                <w:szCs w:val="21"/>
                <w:lang w:val="en-US" w:eastAsia="zh-CN"/>
              </w:rPr>
            </w:pPr>
          </w:p>
        </w:tc>
        <w:tc>
          <w:tcPr>
            <w:tcW w:w="4240" w:type="dxa"/>
            <w:noWrap w:val="0"/>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供应商根据本项目提供的售后服务方案内容包含</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rPr>
              <w:t>：</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①售后服务方式；</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②售后服务制度；</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③售后服务程序；</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④售后人员配置；</w:t>
            </w:r>
          </w:p>
          <w:p>
            <w:pPr>
              <w:pStyle w:val="3"/>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内容完整齐全无缺失，完全满足项目要求的得16分；每缺少一项内容的扣4分；每有一处内容存在错误或不足或不符合实际情况的扣2分，扣完为止。</w:t>
            </w:r>
          </w:p>
          <w:p>
            <w:pPr>
              <w:pStyle w:val="4"/>
              <w:numPr>
                <w:numId w:val="0"/>
              </w:numPr>
              <w:ind w:leftChars="0"/>
              <w:rPr>
                <w:rFonts w:hint="eastAsia"/>
                <w:lang w:val="en-US" w:eastAsia="zh-CN"/>
              </w:rPr>
            </w:pPr>
            <w:r>
              <w:rPr>
                <w:rFonts w:hint="eastAsia" w:ascii="宋体" w:hAnsi="宋体" w:eastAsia="宋体" w:cs="宋体"/>
                <w:color w:val="auto"/>
                <w:sz w:val="21"/>
                <w:szCs w:val="21"/>
                <w:lang w:val="en-US" w:eastAsia="zh-CN"/>
              </w:rPr>
              <w:t>注：内容存在错误或不足或不符合实际情况是指提供的内容出现与项目无关、项目名称不符、实施地点不符、方案内容与项目需求不一致、脱离项目实际情况，方案内容存在凭空想象与编造、内容与实际实施存在差异性，语义表述不清、存在歧义、混乱，提供的方案不满足项目实际需求等。</w:t>
            </w:r>
          </w:p>
        </w:tc>
        <w:tc>
          <w:tcPr>
            <w:tcW w:w="1451" w:type="dxa"/>
            <w:vMerge w:val="continue"/>
            <w:noWrap w:val="0"/>
            <w:vAlign w:val="center"/>
          </w:tcPr>
          <w:p>
            <w:pPr>
              <w:spacing w:line="360" w:lineRule="exact"/>
              <w:jc w:val="both"/>
              <w:rPr>
                <w:rFonts w:hint="eastAsia" w:ascii="宋体" w:hAnsi="宋体" w:cs="宋体"/>
                <w:color w:val="auto"/>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jNmYTg1YmNlYTg1YzMyMWE1MTc3Mzk4ZWU5MGMifQ=="/>
  </w:docVars>
  <w:rsids>
    <w:rsidRoot w:val="7EF33731"/>
    <w:rsid w:val="0BC92DA6"/>
    <w:rsid w:val="0BCF1B44"/>
    <w:rsid w:val="0CBD4065"/>
    <w:rsid w:val="18A27E2F"/>
    <w:rsid w:val="2B7F7832"/>
    <w:rsid w:val="2E4C2CBE"/>
    <w:rsid w:val="30152BAD"/>
    <w:rsid w:val="3B6863B7"/>
    <w:rsid w:val="3B885029"/>
    <w:rsid w:val="3B9F4657"/>
    <w:rsid w:val="435B7D60"/>
    <w:rsid w:val="455E0048"/>
    <w:rsid w:val="463176FF"/>
    <w:rsid w:val="4C185925"/>
    <w:rsid w:val="4F0753C8"/>
    <w:rsid w:val="4F562EE4"/>
    <w:rsid w:val="50F01FB7"/>
    <w:rsid w:val="52C07228"/>
    <w:rsid w:val="572060A0"/>
    <w:rsid w:val="57473C12"/>
    <w:rsid w:val="57C51ED0"/>
    <w:rsid w:val="5BD774D7"/>
    <w:rsid w:val="5E184516"/>
    <w:rsid w:val="6F95136D"/>
    <w:rsid w:val="7065630C"/>
    <w:rsid w:val="71502C94"/>
    <w:rsid w:val="77F87DD7"/>
    <w:rsid w:val="7D976C8C"/>
    <w:rsid w:val="7EF3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样式  + 首行缩进:  2 字符"/>
    <w:basedOn w:val="1"/>
    <w:qFormat/>
    <w:uiPriority w:val="0"/>
    <w:pPr>
      <w:adjustRightInd w:val="0"/>
      <w:spacing w:line="360" w:lineRule="auto"/>
      <w:ind w:firstLine="524" w:firstLineChars="200"/>
    </w:pPr>
    <w:rPr>
      <w:rFonts w:ascii="宋体" w:hAnsi="宋体"/>
      <w:spacing w:val="11"/>
      <w:kern w:val="0"/>
      <w:sz w:val="24"/>
      <w:szCs w:val="24"/>
    </w:rPr>
  </w:style>
  <w:style w:type="paragraph" w:styleId="3">
    <w:name w:val="Body Text"/>
    <w:basedOn w:val="1"/>
    <w:next w:val="1"/>
    <w:autoRedefine/>
    <w:semiHidden/>
    <w:unhideWhenUsed/>
    <w:qFormat/>
    <w:uiPriority w:val="99"/>
    <w:pPr>
      <w:spacing w:after="120"/>
    </w:pPr>
  </w:style>
  <w:style w:type="paragraph" w:styleId="4">
    <w:name w:val="Body Text First Indent"/>
    <w:basedOn w:val="3"/>
    <w:autoRedefine/>
    <w:semiHidden/>
    <w:unhideWhenUsed/>
    <w:qFormat/>
    <w:uiPriority w:val="99"/>
    <w:pPr>
      <w:ind w:firstLine="420" w:firstLineChars="1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2025-02-11T01:50:00Z</dcterms:created>
  <dc:creator>王艳</dc:creator>
  <cp:lastModifiedBy>邹丹</cp:lastModifiedBy>
  <dcterms:modified xsi:type="dcterms:W3CDTF">2025-02-27T04:32:42Z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4F8951ABDAE1465481D60EB1CB560386</vt:lpwstr>
  </property>
</Properties>
</file>